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</w:pPr>
      <w:r>
        <w:rPr>
          <w:rFonts w:ascii="Avenir Heavy" w:hAnsi="Avenir Heavy"/>
          <w:b w:val="0"/>
          <w:bCs w:val="0"/>
          <w:rtl w:val="0"/>
          <w:lang w:val="de-DE"/>
        </w:rPr>
        <w:t xml:space="preserve">Alkanone </w:t>
      </w: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Struktur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Einfachbindung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Ketogruppe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Bildungsvorschrift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</w:t>
      </w:r>
      <w:r>
        <w:rPr>
          <w:rFonts w:ascii="Avenir Book" w:hAnsi="Avenir Book"/>
          <w:vertAlign w:val="subscript"/>
          <w:rtl w:val="0"/>
          <w:lang w:val="de-DE"/>
        </w:rPr>
        <w:t>n</w:t>
      </w:r>
      <w:r>
        <w:rPr>
          <w:rFonts w:ascii="Avenir Book" w:hAnsi="Avenir Book"/>
          <w:rtl w:val="0"/>
          <w:lang w:val="de-DE"/>
        </w:rPr>
        <w:t>H</w:t>
      </w:r>
      <w:r>
        <w:rPr>
          <w:rFonts w:ascii="Avenir Book" w:hAnsi="Avenir Book"/>
          <w:vertAlign w:val="subscript"/>
          <w:rtl w:val="0"/>
          <w:lang w:val="de-DE"/>
        </w:rPr>
        <w:t>2n</w:t>
      </w:r>
      <w:r>
        <w:rPr>
          <w:rFonts w:ascii="Avenir Book" w:hAnsi="Avenir Book"/>
          <w:rtl w:val="0"/>
          <w:lang w:val="de-DE"/>
        </w:rPr>
        <w:t>2O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Eigenschaften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Wirken reduzierend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Sind fl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chtig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Brennbar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Charakteristischer Geruch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Einteilung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Einfache Alkanone: gleiche Reste an Ketogruppe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Gemischte Alkanone: verschiedene Reste an Ketogruppe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Herstellung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Oxidation eines sekund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ren Alkanols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3b2de"/>
        <w:rtl w:val="0"/>
        <w:lang w:val="de-DE"/>
      </w:rPr>
      <w:t>©</w:t>
    </w:r>
    <w:r>
      <w:rPr>
        <w:rFonts w:ascii="Avenir Book" w:hAnsi="Avenir Book"/>
        <w:color w:val="63b2de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>L</w:t>
    </w:r>
    <w:r>
      <w:rPr>
        <w:rFonts w:ascii="Avenir Book" w:hAnsi="Avenir Book"/>
        <w:color w:val="63b2de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3b2de"/>
      </w:rPr>
      <w:fldChar w:fldCharType="begin" w:fldLock="0"/>
    </w:r>
    <w:r>
      <w:rPr>
        <w:rFonts w:ascii="Avenir Book" w:cs="Avenir Book" w:hAnsi="Avenir Book" w:eastAsia="Avenir Book"/>
        <w:color w:val="63b2de"/>
      </w:rPr>
      <w:instrText xml:space="preserve"> PAGE </w:instrText>
    </w:r>
    <w:r>
      <w:rPr>
        <w:rFonts w:ascii="Avenir Book" w:cs="Avenir Book" w:hAnsi="Avenir Book" w:eastAsia="Avenir Book"/>
        <w:color w:val="63b2de"/>
      </w:rPr>
      <w:fldChar w:fldCharType="separate" w:fldLock="0"/>
    </w:r>
    <w:r>
      <w:rPr>
        <w:rFonts w:ascii="Avenir Book" w:cs="Avenir Book" w:hAnsi="Avenir Book" w:eastAsia="Avenir Book"/>
        <w:color w:val="63b2de"/>
      </w:rPr>
      <w:t>1</w:t>
    </w:r>
    <w:r>
      <w:rPr>
        <w:rFonts w:ascii="Avenir Book" w:cs="Avenir Book" w:hAnsi="Avenir Book" w:eastAsia="Avenir Book"/>
        <w:color w:val="63b2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3b2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3b2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3b2de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3599345</wp:posOffset>
          </wp:positionH>
          <wp:positionV relativeFrom="page">
            <wp:posOffset>10135284</wp:posOffset>
          </wp:positionV>
          <wp:extent cx="361365" cy="36136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150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65" cy="361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>Chemie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