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</w:rPr>
        <w:t>Populationsdichte</w:t>
      </w:r>
    </w:p>
    <w:p>
      <w:pPr>
        <w:pStyle w:val="Überschrift"/>
        <w:bidi w:val="0"/>
      </w:pPr>
      <w:r>
        <w:rPr>
          <w:rtl w:val="0"/>
        </w:rPr>
        <w:t>Faktoren</w:t>
      </w:r>
    </w:p>
    <w:p>
      <w:pPr>
        <w:pStyle w:val="Untertitel"/>
        <w:bidi w:val="0"/>
      </w:pPr>
      <w:r>
        <w:rPr>
          <w:rtl w:val="0"/>
        </w:rPr>
        <w:t>Dichteabh</w:t>
      </w:r>
      <w:r>
        <w:rPr>
          <w:rtl w:val="0"/>
        </w:rPr>
        <w:t>ä</w:t>
      </w:r>
      <w:r>
        <w:rPr>
          <w:rtl w:val="0"/>
        </w:rPr>
        <w:t>ngig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= Faktoren, deren Wirkung mit zunehmender Dichte steigt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Intraspezifische Konkurrenz durch: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Nahrungsmenge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Gedr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ngefaktor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Revierbildung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Tierwanderung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Kanibalismus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Artspezifische Feinde: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uber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Parasiten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Ansteckende Krankheiten</w:t>
      </w:r>
    </w:p>
    <w:p>
      <w:pPr>
        <w:pStyle w:val="Text"/>
      </w:pPr>
    </w:p>
    <w:p>
      <w:pPr>
        <w:pStyle w:val="Untertitel"/>
        <w:bidi w:val="0"/>
      </w:pPr>
      <w:r>
        <w:rPr>
          <w:rtl w:val="0"/>
        </w:rPr>
        <w:t>Dichteunabh</w:t>
      </w:r>
      <w:r>
        <w:rPr>
          <w:rtl w:val="0"/>
        </w:rPr>
        <w:t>ä</w:t>
      </w:r>
      <w:r>
        <w:rPr>
          <w:rtl w:val="0"/>
        </w:rPr>
        <w:t>ngig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= Faktoren, deren Wirkung unabh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der Populationsgr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ist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Klima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Licht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 xml:space="preserve">Temperatur 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Feuchte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Wind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Boden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Nichtspezifische Feinde</w:t>
      </w:r>
    </w:p>
    <w:p>
      <w:pPr>
        <w:pStyle w:val="Text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uber, die andere Feinde bevorzugen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Nichtansteckende Krankheiten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3597498</wp:posOffset>
          </wp:positionH>
          <wp:positionV relativeFrom="page">
            <wp:posOffset>10156732</wp:posOffset>
          </wp:positionV>
          <wp:extent cx="365059" cy="365059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59" cy="365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Strich"/>
  </w:abstractNum>
  <w:abstractNum w:abstractNumId="3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Untertitel">
    <w:name w:val="Untertitel"/>
    <w:next w:val="Untertitel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numbering" w:styleId="Strich">
    <w:name w:val="Stric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